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0760A8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</w:t>
            </w:r>
            <w:r w:rsidR="009306C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501E71" w:rsidRDefault="009C0A8F" w:rsidP="00EC2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EC2E7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996"/>
        <w:gridCol w:w="2102"/>
        <w:gridCol w:w="1309"/>
        <w:gridCol w:w="3531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4"/>
          </w:tcPr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3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  <w:gridSpan w:val="2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55243" w:rsidTr="00C71AA5">
        <w:trPr>
          <w:trHeight w:val="363"/>
        </w:trPr>
        <w:tc>
          <w:tcPr>
            <w:tcW w:w="10456" w:type="dxa"/>
            <w:gridSpan w:val="5"/>
          </w:tcPr>
          <w:p w:rsidR="00655243" w:rsidRDefault="00655243" w:rsidP="00E72493">
            <w:pPr>
              <w:widowControl w:val="0"/>
              <w:autoSpaceDE w:val="0"/>
              <w:autoSpaceDN w:val="0"/>
              <w:spacing w:after="0" w:line="320" w:lineRule="auto"/>
              <w:ind w:right="329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EC2E71">
            <w:pPr>
              <w:widowControl w:val="0"/>
              <w:autoSpaceDE w:val="0"/>
              <w:autoSpaceDN w:val="0"/>
              <w:spacing w:after="0" w:line="320" w:lineRule="auto"/>
              <w:ind w:right="3294" w:firstLine="34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юридических и </w:t>
            </w:r>
            <w:r w:rsidRPr="006552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экономических дисциплин</w:t>
            </w:r>
          </w:p>
        </w:tc>
      </w:tr>
      <w:tr w:rsidR="00A24882" w:rsidTr="00A24882">
        <w:trPr>
          <w:trHeight w:val="349"/>
        </w:trPr>
        <w:tc>
          <w:tcPr>
            <w:tcW w:w="10456" w:type="dxa"/>
            <w:gridSpan w:val="5"/>
            <w:vAlign w:val="bottom"/>
          </w:tcPr>
          <w:p w:rsidR="00A24882" w:rsidRPr="00655243" w:rsidRDefault="00A24882" w:rsidP="00A24882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Протокол заседания ПЦК № </w:t>
            </w:r>
            <w:r w:rsidRPr="00A2488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«30» августа 2023</w:t>
            </w:r>
            <w:r w:rsidRPr="00655243">
              <w:rPr>
                <w:rFonts w:ascii="Times New Roman" w:eastAsia="Calibri" w:hAnsi="Times New Roman"/>
                <w:sz w:val="28"/>
                <w:szCs w:val="28"/>
              </w:rPr>
              <w:t> г.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72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М.Ю. Рахманина</w:t>
            </w: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1D0645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«3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 августа 202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655243" w:rsidRPr="00655243">
              <w:rPr>
                <w:rFonts w:ascii="Times New Roman" w:eastAsia="Calibri" w:hAnsi="Times New Roman"/>
                <w:sz w:val="28"/>
                <w:szCs w:val="28"/>
              </w:rPr>
              <w:t xml:space="preserve">  г.</w:t>
            </w:r>
          </w:p>
        </w:tc>
        <w:tc>
          <w:tcPr>
            <w:tcW w:w="3531" w:type="dxa"/>
            <w:vAlign w:val="bottom"/>
          </w:tcPr>
          <w:p w:rsidR="00655243" w:rsidRPr="00655243" w:rsidRDefault="00655243" w:rsidP="00C71AA5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5243" w:rsidTr="00C71AA5">
        <w:trPr>
          <w:trHeight w:val="1182"/>
        </w:trPr>
        <w:tc>
          <w:tcPr>
            <w:tcW w:w="3514" w:type="dxa"/>
            <w:gridSpan w:val="2"/>
            <w:vAlign w:val="bottom"/>
          </w:tcPr>
          <w:p w:rsidR="00655243" w:rsidRPr="00655243" w:rsidRDefault="00C25E23" w:rsidP="00C71AA5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655243" w:rsidRPr="00655243" w:rsidRDefault="00655243" w:rsidP="00C71AA5">
            <w:pPr>
              <w:widowControl w:val="0"/>
              <w:tabs>
                <w:tab w:val="left" w:pos="2747"/>
              </w:tabs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55243">
              <w:rPr>
                <w:rFonts w:ascii="Times New Roman" w:eastAsia="Calibri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531" w:type="dxa"/>
            <w:vAlign w:val="bottom"/>
          </w:tcPr>
          <w:p w:rsidR="00655243" w:rsidRPr="00655243" w:rsidRDefault="00A24882" w:rsidP="00A24882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C25E23">
              <w:rPr>
                <w:rFonts w:ascii="Times New Roman" w:eastAsia="Calibri" w:hAnsi="Times New Roman"/>
                <w:sz w:val="28"/>
                <w:szCs w:val="28"/>
              </w:rPr>
              <w:t>.В. Ш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евченко</w:t>
            </w: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0760A8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ПРОГРАММЫ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</w:t>
            </w:r>
            <w:r w:rsidR="000760A8">
              <w:rPr>
                <w:rFonts w:ascii="Times New Roman" w:hAnsi="Times New Roman"/>
                <w:sz w:val="28"/>
                <w:szCs w:val="28"/>
              </w:rPr>
              <w:t>ЯТЕЛЬНОСТИ…………………………………………………………………………4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</w:t>
            </w:r>
            <w:r w:rsidR="000760A8">
              <w:rPr>
                <w:rFonts w:ascii="Times New Roman" w:hAnsi="Times New Roman"/>
                <w:sz w:val="28"/>
                <w:szCs w:val="28"/>
              </w:rPr>
              <w:t>ПЛИНЫ……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0760A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="000760A8">
        <w:rPr>
          <w:rFonts w:ascii="Times New Roman" w:hAnsi="Times New Roman"/>
          <w:b/>
          <w:sz w:val="24"/>
          <w:szCs w:val="24"/>
        </w:rPr>
        <w:t xml:space="preserve"> </w:t>
      </w:r>
      <w:r w:rsidRPr="00BA39F8">
        <w:rPr>
          <w:rFonts w:ascii="Times New Roman" w:hAnsi="Times New Roman"/>
          <w:b/>
          <w:sz w:val="28"/>
          <w:szCs w:val="28"/>
        </w:rPr>
        <w:t xml:space="preserve">ПАСПОРТ </w:t>
      </w:r>
      <w:r w:rsidR="000760A8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BA39F8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BA39F8" w:rsidRDefault="00C60E4F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9306C0">
        <w:rPr>
          <w:sz w:val="28"/>
          <w:szCs w:val="28"/>
        </w:rPr>
        <w:t>3</w:t>
      </w:r>
      <w:bookmarkStart w:id="1" w:name="_GoBack"/>
      <w:bookmarkEnd w:id="1"/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655243">
        <w:rPr>
          <w:rFonts w:ascii="Times New Roman" w:hAnsi="Times New Roman"/>
          <w:sz w:val="28"/>
          <w:szCs w:val="28"/>
        </w:rPr>
        <w:t>и стремиться к достижению</w:t>
      </w:r>
      <w:r w:rsidR="00655243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и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5708675"/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AC0EB1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</w:p>
    <w:p w:rsidR="00AC0EB1" w:rsidRPr="00AC0EB1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AC0EB1" w:rsidRPr="00AC0EB1" w:rsidRDefault="00AC0EB1" w:rsidP="00AC0E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B1">
        <w:rPr>
          <w:rFonts w:ascii="Times New Roman" w:hAnsi="Times New Roman"/>
          <w:sz w:val="28"/>
          <w:szCs w:val="28"/>
        </w:rPr>
        <w:t>ЛР</w:t>
      </w:r>
      <w:r w:rsidR="004735FD">
        <w:rPr>
          <w:rFonts w:ascii="Times New Roman" w:hAnsi="Times New Roman"/>
          <w:sz w:val="28"/>
          <w:szCs w:val="28"/>
        </w:rPr>
        <w:t xml:space="preserve"> </w:t>
      </w:r>
      <w:r w:rsidRPr="00AC0EB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AC0EB1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hAnsi="Times New Roman"/>
          <w:sz w:val="28"/>
          <w:szCs w:val="28"/>
        </w:rPr>
        <w:t>.</w:t>
      </w:r>
    </w:p>
    <w:bookmarkEnd w:id="2"/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</w:t>
      </w:r>
      <w:r w:rsidR="00EC2E71">
        <w:rPr>
          <w:b/>
          <w:color w:val="auto"/>
          <w:sz w:val="28"/>
          <w:szCs w:val="28"/>
        </w:rPr>
        <w:t>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="00EC2E71">
        <w:rPr>
          <w:b/>
          <w:color w:val="auto"/>
          <w:sz w:val="28"/>
          <w:szCs w:val="28"/>
        </w:rPr>
        <w:t>22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3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ДИСЦИПЛИНЫ</w:t>
      </w:r>
      <w:bookmarkEnd w:id="3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EC2E7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52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BA33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22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0760A8" w:rsidRDefault="00965DFD" w:rsidP="00824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</w:p>
    <w:p w:rsidR="008705A7" w:rsidRPr="004E460D" w:rsidRDefault="00C60E4F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31029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  <w:r w:rsidR="00E152DD" w:rsidRPr="00E152DD">
              <w:rPr>
                <w:rFonts w:ascii="Times New Roman" w:hAnsi="Times New Roman"/>
                <w:bCs/>
                <w:sz w:val="24"/>
                <w:szCs w:val="24"/>
              </w:rPr>
              <w:t>-15</w:t>
            </w:r>
          </w:p>
        </w:tc>
      </w:tr>
      <w:tr w:rsidR="0006674D" w:rsidRPr="004E460D" w:rsidTr="00EC2E71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Кредитный договор. Анализ финансовых рисков при заключении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152DD"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E71" w:rsidRDefault="00EC2E71" w:rsidP="00EC2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E152D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1F72DA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  <w:p w:rsidR="00EC2E71" w:rsidRPr="004E460D" w:rsidRDefault="00EC2E71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2,4,7,10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  <w:p w:rsidR="00EC2E71" w:rsidRPr="004E460D" w:rsidRDefault="00EC2E71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анализа предприятия и составление плана </w:t>
            </w:r>
            <w:r w:rsidRPr="004E460D">
              <w:rPr>
                <w:rFonts w:ascii="Times New Roman" w:hAnsi="Times New Roman"/>
                <w:sz w:val="24"/>
                <w:szCs w:val="24"/>
              </w:rPr>
              <w:lastRenderedPageBreak/>
              <w:t>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Комбинированное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C2E71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ЛР 11-15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4" w:name="_Toc470588870"/>
      <w:r w:rsidRPr="009E4CBD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4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</w:t>
      </w:r>
      <w:r w:rsidR="001F72DA">
        <w:rPr>
          <w:sz w:val="28"/>
          <w:szCs w:val="28"/>
        </w:rPr>
        <w:t xml:space="preserve"> </w:t>
      </w:r>
      <w:r w:rsidRPr="000F032A">
        <w:rPr>
          <w:sz w:val="28"/>
          <w:szCs w:val="28"/>
        </w:rPr>
        <w:t>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lastRenderedPageBreak/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</w:t>
      </w:r>
      <w:r>
        <w:rPr>
          <w:sz w:val="28"/>
          <w:szCs w:val="28"/>
        </w:rPr>
        <w:lastRenderedPageBreak/>
        <w:t xml:space="preserve">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5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9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>
        <w:rPr>
          <w:rFonts w:ascii="Times New Roman" w:hAnsi="Times New Roman"/>
          <w:sz w:val="28"/>
          <w:szCs w:val="28"/>
        </w:rPr>
        <w:t xml:space="preserve">ОП.14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6A2DEB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BA3305" w:rsidRPr="00345B29" w:rsidTr="001F72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05" w:rsidRPr="00345B29" w:rsidRDefault="00BA3305" w:rsidP="00BA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30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71" w:rsidRDefault="00EC2E71">
      <w:r>
        <w:separator/>
      </w:r>
    </w:p>
  </w:endnote>
  <w:endnote w:type="continuationSeparator" w:id="0">
    <w:p w:rsidR="00EC2E71" w:rsidRDefault="00EC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EC2E71" w:rsidRDefault="00EC2E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6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71" w:rsidRDefault="00EC2E71">
      <w:r>
        <w:separator/>
      </w:r>
    </w:p>
  </w:footnote>
  <w:footnote w:type="continuationSeparator" w:id="0">
    <w:p w:rsidR="00EC2E71" w:rsidRDefault="00EC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0A8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06C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CB9CF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E4A9-3ACC-468D-A6C5-557DDA97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15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22997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32</cp:revision>
  <cp:lastPrinted>2024-01-17T07:50:00Z</cp:lastPrinted>
  <dcterms:created xsi:type="dcterms:W3CDTF">2023-01-10T07:57:00Z</dcterms:created>
  <dcterms:modified xsi:type="dcterms:W3CDTF">2024-12-27T04:30:00Z</dcterms:modified>
</cp:coreProperties>
</file>